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364" w:rsidRDefault="00446364"/>
    <w:p w:rsidR="00225B40" w:rsidRDefault="00225B40"/>
    <w:p w:rsidR="00225B40" w:rsidRDefault="00225B40" w:rsidP="006F1875">
      <w:pPr>
        <w:pStyle w:val="Heading3"/>
        <w:spacing w:before="89" w:line="357" w:lineRule="auto"/>
        <w:ind w:left="426" w:hanging="426"/>
      </w:pPr>
      <w:r>
        <w:t>Scenariusz spotkania z radą pedagogiczną w celu diagnozy pracy szkoły w kontekście umiejętności uczenia się</w:t>
      </w:r>
      <w:r>
        <w:rPr>
          <w:rStyle w:val="Odwoanieprzypisudolnego"/>
        </w:rPr>
        <w:footnoteReference w:id="2"/>
      </w:r>
    </w:p>
    <w:p w:rsidR="00225B40" w:rsidRDefault="00225B40" w:rsidP="006F1875">
      <w:pPr>
        <w:pStyle w:val="Tekstpodstawowy"/>
        <w:spacing w:before="130"/>
        <w:ind w:left="426" w:hanging="426"/>
      </w:pPr>
      <w:r>
        <w:rPr>
          <w:b/>
        </w:rPr>
        <w:t xml:space="preserve">Temat: </w:t>
      </w:r>
      <w:r>
        <w:t>Umiejętność uczenia się – diagnoza pracy szkoły</w:t>
      </w:r>
    </w:p>
    <w:p w:rsidR="00225B40" w:rsidRDefault="00225B40" w:rsidP="006F1875">
      <w:pPr>
        <w:pStyle w:val="Tekstpodstawowy"/>
        <w:spacing w:before="7"/>
        <w:ind w:left="426" w:hanging="426"/>
        <w:rPr>
          <w:sz w:val="22"/>
        </w:rPr>
      </w:pPr>
    </w:p>
    <w:p w:rsidR="00225B40" w:rsidRDefault="00225B40" w:rsidP="006F1875">
      <w:pPr>
        <w:pStyle w:val="Tekstpodstawowy"/>
        <w:spacing w:line="360" w:lineRule="auto"/>
        <w:ind w:left="426" w:hanging="426"/>
      </w:pPr>
      <w:r>
        <w:t>Spotkanie z radą pedagogiczną pozwoli wprowadzić nauczycieli w zagadnienia zwią- zane z kompetencjami kluczowymi ze szczególnym uwzględnieniem umiejętności uczenia się uczniów. Usystematyzowanie i nadb</w:t>
      </w:r>
      <w:r w:rsidR="006F1875">
        <w:t>udowanie wiedzy może być pomoc</w:t>
      </w:r>
      <w:r>
        <w:t>ne w ocenie stanu obecnego związanego z kształtowaniem umiejętności uczenia się uczniów danej szkoły.</w:t>
      </w:r>
    </w:p>
    <w:p w:rsidR="006F1875" w:rsidRDefault="006F1875" w:rsidP="006F1875">
      <w:pPr>
        <w:pStyle w:val="Heading6"/>
        <w:spacing w:before="93"/>
        <w:ind w:left="426" w:hanging="426"/>
      </w:pPr>
      <w:r>
        <w:t>Cel ogólny</w:t>
      </w:r>
    </w:p>
    <w:p w:rsidR="006F1875" w:rsidRDefault="006F1875" w:rsidP="006F1875">
      <w:pPr>
        <w:pStyle w:val="Tekstpodstawowy"/>
        <w:spacing w:before="3"/>
        <w:ind w:left="426" w:hanging="426"/>
        <w:rPr>
          <w:b/>
          <w:sz w:val="22"/>
        </w:rPr>
      </w:pPr>
    </w:p>
    <w:p w:rsidR="006F1875" w:rsidRDefault="006F1875" w:rsidP="006F1875">
      <w:pPr>
        <w:pStyle w:val="Tekstpodstawowy"/>
        <w:spacing w:before="1" w:line="360" w:lineRule="auto"/>
        <w:ind w:left="426" w:hanging="426"/>
      </w:pPr>
      <w:r>
        <w:t>Usystematyzowanie wiedzy z zakresu kompetencji kluczowych ze szczególnym uwzględnieniem umiejętności uczenia się</w:t>
      </w:r>
    </w:p>
    <w:p w:rsidR="006F1875" w:rsidRDefault="006F1875" w:rsidP="006F1875">
      <w:pPr>
        <w:pStyle w:val="Heading6"/>
        <w:spacing w:before="120"/>
        <w:ind w:left="426" w:hanging="426"/>
      </w:pPr>
      <w:r>
        <w:t>Cele szczegółowe (efekty)</w:t>
      </w:r>
    </w:p>
    <w:p w:rsidR="006F1875" w:rsidRDefault="006F1875" w:rsidP="006F1875">
      <w:pPr>
        <w:pStyle w:val="Tekstpodstawowy"/>
        <w:spacing w:before="6"/>
        <w:ind w:left="426" w:hanging="426"/>
        <w:rPr>
          <w:b/>
          <w:sz w:val="22"/>
        </w:rPr>
      </w:pPr>
    </w:p>
    <w:p w:rsidR="006F1875" w:rsidRDefault="006F1875" w:rsidP="006F1875">
      <w:pPr>
        <w:pStyle w:val="Tekstpodstawowy"/>
        <w:ind w:left="426" w:hanging="426"/>
      </w:pPr>
      <w:r>
        <w:t>Uczestnik szkolenia:</w:t>
      </w:r>
    </w:p>
    <w:p w:rsidR="006F1875" w:rsidRDefault="006F1875" w:rsidP="006F1875">
      <w:pPr>
        <w:pStyle w:val="Tekstpodstawowy"/>
        <w:spacing w:before="4"/>
        <w:ind w:left="426" w:hanging="426"/>
        <w:rPr>
          <w:sz w:val="22"/>
        </w:rPr>
      </w:pPr>
    </w:p>
    <w:p w:rsidR="006F1875" w:rsidRDefault="006F1875" w:rsidP="006F1875">
      <w:pPr>
        <w:pStyle w:val="Akapitzlist"/>
        <w:numPr>
          <w:ilvl w:val="1"/>
          <w:numId w:val="1"/>
        </w:numPr>
        <w:tabs>
          <w:tab w:val="left" w:pos="1111"/>
          <w:tab w:val="left" w:pos="1112"/>
        </w:tabs>
        <w:ind w:left="426" w:hanging="426"/>
        <w:rPr>
          <w:sz w:val="24"/>
        </w:rPr>
      </w:pPr>
      <w:r>
        <w:rPr>
          <w:sz w:val="24"/>
        </w:rPr>
        <w:t>definiuje pojęcie</w:t>
      </w:r>
      <w:r>
        <w:rPr>
          <w:spacing w:val="-3"/>
          <w:sz w:val="24"/>
        </w:rPr>
        <w:t xml:space="preserve"> </w:t>
      </w:r>
      <w:r>
        <w:rPr>
          <w:sz w:val="24"/>
        </w:rPr>
        <w:t>kompetencji;</w:t>
      </w:r>
    </w:p>
    <w:p w:rsidR="006F1875" w:rsidRDefault="006F1875" w:rsidP="006F1875">
      <w:pPr>
        <w:pStyle w:val="Akapitzlist"/>
        <w:numPr>
          <w:ilvl w:val="1"/>
          <w:numId w:val="1"/>
        </w:numPr>
        <w:tabs>
          <w:tab w:val="left" w:pos="1111"/>
          <w:tab w:val="left" w:pos="1112"/>
        </w:tabs>
        <w:spacing w:before="136" w:line="355" w:lineRule="auto"/>
        <w:ind w:left="426" w:hanging="426"/>
        <w:rPr>
          <w:sz w:val="24"/>
        </w:rPr>
      </w:pPr>
      <w:r>
        <w:rPr>
          <w:sz w:val="24"/>
        </w:rPr>
        <w:t>wymienia kompetencje kluczowe zgodnie z Zaleceniem Parlamentu Europejskiego i Rady w sprawie kompetencji kluczowych w procesie uczenia się przez całe</w:t>
      </w:r>
      <w:r>
        <w:rPr>
          <w:spacing w:val="-1"/>
          <w:sz w:val="24"/>
        </w:rPr>
        <w:t xml:space="preserve"> </w:t>
      </w:r>
      <w:r>
        <w:rPr>
          <w:sz w:val="24"/>
        </w:rPr>
        <w:t>życie;</w:t>
      </w:r>
    </w:p>
    <w:p w:rsidR="006F1875" w:rsidRDefault="006F1875" w:rsidP="006F1875">
      <w:pPr>
        <w:pStyle w:val="Akapitzlist"/>
        <w:numPr>
          <w:ilvl w:val="1"/>
          <w:numId w:val="1"/>
        </w:numPr>
        <w:tabs>
          <w:tab w:val="left" w:pos="1111"/>
          <w:tab w:val="left" w:pos="1112"/>
        </w:tabs>
        <w:spacing w:before="9"/>
        <w:ind w:left="426" w:hanging="426"/>
        <w:rPr>
          <w:sz w:val="24"/>
        </w:rPr>
      </w:pPr>
      <w:r>
        <w:rPr>
          <w:sz w:val="24"/>
        </w:rPr>
        <w:t>opisuje przebieg procesu uczenia</w:t>
      </w:r>
      <w:r>
        <w:rPr>
          <w:spacing w:val="-4"/>
          <w:sz w:val="24"/>
        </w:rPr>
        <w:t xml:space="preserve"> </w:t>
      </w:r>
      <w:r>
        <w:rPr>
          <w:sz w:val="24"/>
        </w:rPr>
        <w:t>się;</w:t>
      </w:r>
    </w:p>
    <w:p w:rsidR="006F1875" w:rsidRDefault="006F1875" w:rsidP="006F1875">
      <w:pPr>
        <w:pStyle w:val="Akapitzlist"/>
        <w:numPr>
          <w:ilvl w:val="1"/>
          <w:numId w:val="1"/>
        </w:numPr>
        <w:tabs>
          <w:tab w:val="left" w:pos="1111"/>
          <w:tab w:val="left" w:pos="1112"/>
        </w:tabs>
        <w:spacing w:before="135" w:line="350" w:lineRule="auto"/>
        <w:ind w:left="426" w:hanging="426"/>
        <w:rPr>
          <w:sz w:val="24"/>
        </w:rPr>
      </w:pPr>
      <w:r>
        <w:rPr>
          <w:sz w:val="24"/>
        </w:rPr>
        <w:t>wskazuje związek procesu uczenia się z kształtowaniem u uczniów kompe- tencji</w:t>
      </w:r>
      <w:r>
        <w:rPr>
          <w:spacing w:val="-2"/>
          <w:sz w:val="24"/>
        </w:rPr>
        <w:t xml:space="preserve"> </w:t>
      </w:r>
      <w:r>
        <w:rPr>
          <w:sz w:val="24"/>
        </w:rPr>
        <w:t>kluczowych;</w:t>
      </w:r>
    </w:p>
    <w:p w:rsidR="006F1875" w:rsidRDefault="006F1875" w:rsidP="006F1875">
      <w:pPr>
        <w:pStyle w:val="Akapitzlist"/>
        <w:numPr>
          <w:ilvl w:val="1"/>
          <w:numId w:val="1"/>
        </w:numPr>
        <w:tabs>
          <w:tab w:val="left" w:pos="1111"/>
          <w:tab w:val="left" w:pos="1112"/>
        </w:tabs>
        <w:spacing w:before="13"/>
        <w:ind w:left="426" w:hanging="426"/>
        <w:rPr>
          <w:sz w:val="24"/>
        </w:rPr>
      </w:pPr>
      <w:r>
        <w:rPr>
          <w:sz w:val="24"/>
        </w:rPr>
        <w:t>konstruuje tarczę strzelniczą (narzędzie</w:t>
      </w:r>
      <w:r>
        <w:rPr>
          <w:spacing w:val="-25"/>
          <w:sz w:val="24"/>
        </w:rPr>
        <w:t xml:space="preserve"> </w:t>
      </w:r>
      <w:r>
        <w:rPr>
          <w:sz w:val="24"/>
        </w:rPr>
        <w:t>diagnostyczne);</w:t>
      </w:r>
    </w:p>
    <w:p w:rsidR="006F1875" w:rsidRDefault="006F1875" w:rsidP="006F1875">
      <w:pPr>
        <w:pStyle w:val="Akapitzlist"/>
        <w:numPr>
          <w:ilvl w:val="1"/>
          <w:numId w:val="1"/>
        </w:numPr>
        <w:tabs>
          <w:tab w:val="left" w:pos="1111"/>
          <w:tab w:val="left" w:pos="1112"/>
        </w:tabs>
        <w:spacing w:before="135" w:line="350" w:lineRule="auto"/>
        <w:ind w:left="426" w:hanging="426"/>
        <w:rPr>
          <w:sz w:val="24"/>
        </w:rPr>
      </w:pPr>
      <w:r>
        <w:rPr>
          <w:sz w:val="24"/>
        </w:rPr>
        <w:t>analizuje zebrane dane w wyniku diagnozy przeprowadzonej z wykorzystaniem narzędzia diagnostycznego – tarczy</w:t>
      </w:r>
      <w:r>
        <w:rPr>
          <w:spacing w:val="-1"/>
          <w:sz w:val="24"/>
        </w:rPr>
        <w:t xml:space="preserve"> </w:t>
      </w:r>
      <w:r>
        <w:rPr>
          <w:sz w:val="24"/>
        </w:rPr>
        <w:t>strzelniczej.</w:t>
      </w:r>
    </w:p>
    <w:p w:rsidR="006F1875" w:rsidRDefault="006F1875" w:rsidP="006F1875">
      <w:pPr>
        <w:pStyle w:val="Heading6"/>
        <w:spacing w:before="171"/>
      </w:pPr>
      <w:r>
        <w:t>Treści – wymagania szczegółowe</w:t>
      </w:r>
    </w:p>
    <w:p w:rsidR="006F1875" w:rsidRDefault="006F1875" w:rsidP="006F1875">
      <w:pPr>
        <w:pStyle w:val="Tekstpodstawowy"/>
        <w:spacing w:before="6"/>
        <w:rPr>
          <w:b/>
          <w:sz w:val="22"/>
        </w:rPr>
      </w:pPr>
    </w:p>
    <w:p w:rsidR="006F1875" w:rsidRDefault="006F1875" w:rsidP="006F1875">
      <w:pPr>
        <w:pStyle w:val="Akapitzlist"/>
        <w:numPr>
          <w:ilvl w:val="0"/>
          <w:numId w:val="2"/>
        </w:numPr>
        <w:tabs>
          <w:tab w:val="left" w:pos="1250"/>
          <w:tab w:val="left" w:pos="1251"/>
        </w:tabs>
        <w:rPr>
          <w:sz w:val="24"/>
        </w:rPr>
      </w:pPr>
      <w:r>
        <w:rPr>
          <w:sz w:val="24"/>
        </w:rPr>
        <w:lastRenderedPageBreak/>
        <w:t>Kompetencje kluczowe według zalecenia Parlamentu Europejskiego i</w:t>
      </w:r>
      <w:r>
        <w:rPr>
          <w:spacing w:val="-23"/>
          <w:sz w:val="24"/>
        </w:rPr>
        <w:t xml:space="preserve"> </w:t>
      </w:r>
      <w:r>
        <w:rPr>
          <w:sz w:val="24"/>
        </w:rPr>
        <w:t>Rady.</w:t>
      </w:r>
    </w:p>
    <w:p w:rsidR="006F1875" w:rsidRDefault="006F1875" w:rsidP="006F1875">
      <w:pPr>
        <w:pStyle w:val="Akapitzlist"/>
        <w:numPr>
          <w:ilvl w:val="0"/>
          <w:numId w:val="2"/>
        </w:numPr>
        <w:tabs>
          <w:tab w:val="left" w:pos="1250"/>
          <w:tab w:val="left" w:pos="1251"/>
        </w:tabs>
        <w:spacing w:before="137"/>
        <w:rPr>
          <w:sz w:val="24"/>
        </w:rPr>
      </w:pPr>
      <w:r>
        <w:rPr>
          <w:sz w:val="24"/>
        </w:rPr>
        <w:t>Umiejętność uczenia się według zalecenia Parlamentu Europejskiego i</w:t>
      </w:r>
      <w:r>
        <w:rPr>
          <w:spacing w:val="-23"/>
          <w:sz w:val="24"/>
        </w:rPr>
        <w:t xml:space="preserve"> </w:t>
      </w:r>
      <w:r>
        <w:rPr>
          <w:sz w:val="24"/>
        </w:rPr>
        <w:t>Rady.</w:t>
      </w:r>
    </w:p>
    <w:p w:rsidR="006F1875" w:rsidRDefault="006F1875" w:rsidP="006F1875">
      <w:pPr>
        <w:pStyle w:val="Akapitzlist"/>
        <w:numPr>
          <w:ilvl w:val="0"/>
          <w:numId w:val="2"/>
        </w:numPr>
        <w:tabs>
          <w:tab w:val="left" w:pos="1250"/>
          <w:tab w:val="left" w:pos="1251"/>
        </w:tabs>
        <w:spacing w:before="139"/>
        <w:rPr>
          <w:sz w:val="24"/>
        </w:rPr>
      </w:pPr>
      <w:r>
        <w:rPr>
          <w:sz w:val="24"/>
        </w:rPr>
        <w:t>Konstruowanie narzędzia do diagnozy umiejętności uczenia</w:t>
      </w:r>
      <w:r>
        <w:rPr>
          <w:spacing w:val="-7"/>
          <w:sz w:val="24"/>
        </w:rPr>
        <w:t xml:space="preserve"> </w:t>
      </w:r>
      <w:r>
        <w:rPr>
          <w:sz w:val="24"/>
        </w:rPr>
        <w:t>się.</w:t>
      </w:r>
    </w:p>
    <w:p w:rsidR="006F1875" w:rsidRDefault="006F1875" w:rsidP="006F1875">
      <w:pPr>
        <w:pStyle w:val="Tekstpodstawowy"/>
        <w:spacing w:before="10"/>
        <w:rPr>
          <w:sz w:val="25"/>
        </w:rPr>
      </w:pPr>
    </w:p>
    <w:p w:rsidR="006F1875" w:rsidRDefault="006F1875" w:rsidP="006F1875">
      <w:pPr>
        <w:spacing w:before="1" w:line="360" w:lineRule="auto"/>
        <w:ind w:left="398" w:right="1048"/>
        <w:rPr>
          <w:sz w:val="24"/>
        </w:rPr>
      </w:pPr>
      <w:r>
        <w:rPr>
          <w:b/>
          <w:sz w:val="24"/>
        </w:rPr>
        <w:t xml:space="preserve">Metody i techniki pracy: </w:t>
      </w:r>
      <w:r>
        <w:rPr>
          <w:sz w:val="24"/>
        </w:rPr>
        <w:t>gra z wykorzystaniem aplikacji LearningApps.org, praca z tekstem</w:t>
      </w:r>
    </w:p>
    <w:p w:rsidR="006F1875" w:rsidRDefault="006F1875" w:rsidP="006F1875">
      <w:pPr>
        <w:spacing w:before="120"/>
        <w:ind w:left="398"/>
        <w:rPr>
          <w:sz w:val="24"/>
        </w:rPr>
      </w:pPr>
      <w:r>
        <w:rPr>
          <w:b/>
          <w:sz w:val="24"/>
        </w:rPr>
        <w:t>Czas zajęć</w:t>
      </w:r>
      <w:r>
        <w:rPr>
          <w:sz w:val="24"/>
        </w:rPr>
        <w:t>: 4 x 45 minut = 180 minut</w:t>
      </w:r>
    </w:p>
    <w:p w:rsidR="006F1875" w:rsidRDefault="006F1875" w:rsidP="006F1875">
      <w:pPr>
        <w:pStyle w:val="Tekstpodstawowy"/>
        <w:spacing w:before="3"/>
        <w:rPr>
          <w:sz w:val="22"/>
        </w:rPr>
      </w:pPr>
    </w:p>
    <w:p w:rsidR="006F1875" w:rsidRDefault="006F1875" w:rsidP="006F1875">
      <w:pPr>
        <w:pStyle w:val="Heading6"/>
        <w:ind w:left="0"/>
      </w:pPr>
      <w:r>
        <w:t>Wskazówki do materiałów pomocniczych</w:t>
      </w:r>
    </w:p>
    <w:p w:rsidR="006F1875" w:rsidRPr="006F1875" w:rsidRDefault="006F1875" w:rsidP="006F1875">
      <w:pPr>
        <w:pStyle w:val="Tekstpodstawowy"/>
        <w:spacing w:before="93" w:line="360" w:lineRule="auto"/>
        <w:jc w:val="both"/>
        <w:rPr>
          <w:sz w:val="22"/>
          <w:szCs w:val="22"/>
        </w:rPr>
      </w:pPr>
      <w:r w:rsidRPr="006F1875">
        <w:rPr>
          <w:b/>
          <w:sz w:val="22"/>
          <w:szCs w:val="22"/>
        </w:rPr>
        <w:t xml:space="preserve">Załącznik 1. </w:t>
      </w:r>
      <w:r w:rsidRPr="006F1875">
        <w:rPr>
          <w:sz w:val="22"/>
          <w:szCs w:val="22"/>
        </w:rPr>
        <w:t xml:space="preserve">Milionerzy – wskazówki do przygotowania gry Do przygotowania gry należy wykorzystać aplikację ze strony </w:t>
      </w:r>
      <w:hyperlink r:id="rId8">
        <w:r w:rsidRPr="006F1875">
          <w:rPr>
            <w:sz w:val="22"/>
            <w:szCs w:val="22"/>
            <w:u w:val="single"/>
          </w:rPr>
          <w:t>www.learningapps.org</w:t>
        </w:r>
      </w:hyperlink>
      <w:r w:rsidRPr="006F1875">
        <w:rPr>
          <w:rStyle w:val="Odwoanieprzypisudolnego"/>
          <w:sz w:val="22"/>
          <w:szCs w:val="22"/>
        </w:rPr>
        <w:footnoteReference w:id="3"/>
      </w:r>
      <w:r w:rsidRPr="006F1875">
        <w:rPr>
          <w:sz w:val="22"/>
          <w:szCs w:val="22"/>
        </w:rPr>
        <w:t>. Jest to aplikacja Web 2.0 wspomagająca proces uczenia się i nauczania za pomocą małych interaktywnych modułów. Można dzięki niej przy- gotować grę Milionerzy. W tym celu wystarczy odnaleźć właściwy szablon oraz przy gotować pytania wraz z odpowiedziami zgodnie z instrukcją. Gotową grę można za- pisać w swoich zasobach lub skopiować wygenerowany link, który umożliwi bezpo- średni dostęp do przygotowanego zasobu. Gra pozwala w niestandardowy sposób uporządkować i utrwalić wiedzę na temat kompetencji kluczowych uczniów.</w:t>
      </w:r>
    </w:p>
    <w:p w:rsidR="006F1875" w:rsidRPr="006F1875" w:rsidRDefault="006F1875" w:rsidP="006F1875">
      <w:pPr>
        <w:pStyle w:val="Tekstpodstawowy"/>
        <w:spacing w:before="120" w:line="360" w:lineRule="auto"/>
        <w:jc w:val="both"/>
        <w:rPr>
          <w:sz w:val="22"/>
          <w:szCs w:val="22"/>
        </w:rPr>
      </w:pPr>
      <w:r w:rsidRPr="006F1875">
        <w:rPr>
          <w:sz w:val="22"/>
          <w:szCs w:val="22"/>
        </w:rPr>
        <w:t>Milionerzy to w założeniu mini</w:t>
      </w:r>
      <w:r>
        <w:rPr>
          <w:sz w:val="22"/>
          <w:szCs w:val="22"/>
        </w:rPr>
        <w:t xml:space="preserve"> </w:t>
      </w:r>
      <w:r w:rsidRPr="006F1875">
        <w:rPr>
          <w:sz w:val="22"/>
          <w:szCs w:val="22"/>
        </w:rPr>
        <w:t>powtórka z zakresu ko</w:t>
      </w:r>
      <w:r>
        <w:rPr>
          <w:sz w:val="22"/>
          <w:szCs w:val="22"/>
        </w:rPr>
        <w:t>mpetencji kluczowych. Uczestni</w:t>
      </w:r>
      <w:r w:rsidRPr="006F1875">
        <w:rPr>
          <w:sz w:val="22"/>
          <w:szCs w:val="22"/>
        </w:rPr>
        <w:t>cy będą mogli poczuć się jak w popularnym progr</w:t>
      </w:r>
      <w:r>
        <w:rPr>
          <w:sz w:val="22"/>
          <w:szCs w:val="22"/>
        </w:rPr>
        <w:t>amie, odpowiadając na przygoto</w:t>
      </w:r>
      <w:r w:rsidRPr="006F1875">
        <w:rPr>
          <w:sz w:val="22"/>
          <w:szCs w:val="22"/>
        </w:rPr>
        <w:t>wane pytania dotyczące kompetencji kluczowych, które następnie przedyskutują</w:t>
      </w:r>
    </w:p>
    <w:p w:rsidR="006F1875" w:rsidRPr="006F1875" w:rsidRDefault="006F1875" w:rsidP="006F1875">
      <w:pPr>
        <w:pStyle w:val="Tekstpodstawowy"/>
        <w:spacing w:line="360" w:lineRule="auto"/>
        <w:jc w:val="both"/>
        <w:rPr>
          <w:sz w:val="22"/>
          <w:szCs w:val="22"/>
        </w:rPr>
      </w:pPr>
      <w:r w:rsidRPr="006F1875">
        <w:rPr>
          <w:sz w:val="22"/>
          <w:szCs w:val="22"/>
        </w:rPr>
        <w:t>w małych grupach. Pytania mogą dotyczyć np. definic</w:t>
      </w:r>
      <w:r>
        <w:rPr>
          <w:sz w:val="22"/>
          <w:szCs w:val="22"/>
        </w:rPr>
        <w:t>ji i liczby kompetencji kluczo</w:t>
      </w:r>
      <w:r w:rsidRPr="006F1875">
        <w:rPr>
          <w:sz w:val="22"/>
          <w:szCs w:val="22"/>
        </w:rPr>
        <w:t>wych, tego, kto i kiedy je zalecił, a także opisów wybranych kompetencji. Pomocny w ich przygotowaniu będzie materiał: Zalecenie Parlamentu Europejskiego i Rady w sprawie kompetencji kluczowych w procesie uczenia się przez całe życie.</w:t>
      </w:r>
    </w:p>
    <w:p w:rsidR="006F1875" w:rsidRPr="006F1875" w:rsidRDefault="006F1875" w:rsidP="006F1875">
      <w:pPr>
        <w:pStyle w:val="Tekstpodstawowy"/>
        <w:spacing w:before="120" w:line="360" w:lineRule="auto"/>
        <w:jc w:val="both"/>
        <w:rPr>
          <w:sz w:val="22"/>
          <w:szCs w:val="22"/>
        </w:rPr>
      </w:pPr>
      <w:r w:rsidRPr="006F1875">
        <w:rPr>
          <w:sz w:val="22"/>
          <w:szCs w:val="22"/>
        </w:rPr>
        <w:t>Przed spotkaniem należy sprawdzić, czy w sali, w której planowane jest spotkanie, znajduje się dostęp do internetu oraz rzutnik. Należy również przygotować zestawy kart z nadrukami: A, B, C i D, dzięki którym liderzy grup będą sygnalizować decyzje zespołu (od czterech do pięciu kompletów).</w:t>
      </w:r>
    </w:p>
    <w:p w:rsidR="006F1875" w:rsidRPr="006F1875" w:rsidRDefault="006F1875" w:rsidP="006F1875">
      <w:pPr>
        <w:spacing w:before="120"/>
        <w:rPr>
          <w:rFonts w:ascii="Arial" w:hAnsi="Arial" w:cs="Arial"/>
        </w:rPr>
      </w:pPr>
      <w:r w:rsidRPr="006F1875">
        <w:rPr>
          <w:rFonts w:ascii="Arial" w:hAnsi="Arial" w:cs="Arial"/>
          <w:b/>
        </w:rPr>
        <w:t xml:space="preserve">Załącznik 2. </w:t>
      </w:r>
      <w:r>
        <w:rPr>
          <w:rFonts w:ascii="Arial" w:hAnsi="Arial" w:cs="Arial"/>
          <w:b/>
        </w:rPr>
        <w:t>D</w:t>
      </w:r>
      <w:r w:rsidRPr="006F1875">
        <w:rPr>
          <w:rFonts w:ascii="Arial" w:hAnsi="Arial" w:cs="Arial"/>
        </w:rPr>
        <w:t>efinicje umiejętności uczenia się</w:t>
      </w:r>
      <w:r>
        <w:rPr>
          <w:rFonts w:ascii="Arial" w:hAnsi="Arial" w:cs="Arial"/>
        </w:rPr>
        <w:t xml:space="preserve"> </w:t>
      </w:r>
      <w:r>
        <w:rPr>
          <w:rStyle w:val="Odwoanieprzypisudolnego"/>
          <w:rFonts w:ascii="Arial" w:hAnsi="Arial" w:cs="Arial"/>
        </w:rPr>
        <w:footnoteReference w:id="4"/>
      </w:r>
    </w:p>
    <w:p w:rsidR="006F1875" w:rsidRPr="006F1875" w:rsidRDefault="006F1875" w:rsidP="006F1875">
      <w:pPr>
        <w:pStyle w:val="Tekstpodstawowy"/>
        <w:spacing w:before="6"/>
        <w:rPr>
          <w:sz w:val="22"/>
          <w:szCs w:val="22"/>
        </w:rPr>
      </w:pPr>
    </w:p>
    <w:p w:rsidR="006F1875" w:rsidRPr="006F1875" w:rsidRDefault="006F1875" w:rsidP="006F1875">
      <w:pPr>
        <w:pStyle w:val="Tekstpodstawowy"/>
        <w:spacing w:line="360" w:lineRule="auto"/>
        <w:rPr>
          <w:sz w:val="22"/>
          <w:szCs w:val="22"/>
        </w:rPr>
      </w:pPr>
      <w:r w:rsidRPr="006F1875">
        <w:rPr>
          <w:sz w:val="22"/>
          <w:szCs w:val="22"/>
        </w:rPr>
        <w:t xml:space="preserve">Załącznik powinien zawierać definicję umiejętności </w:t>
      </w:r>
      <w:r>
        <w:rPr>
          <w:sz w:val="22"/>
          <w:szCs w:val="22"/>
        </w:rPr>
        <w:t>uczenia się, która pozwoli nau</w:t>
      </w:r>
      <w:r w:rsidRPr="006F1875">
        <w:rPr>
          <w:sz w:val="22"/>
          <w:szCs w:val="22"/>
        </w:rPr>
        <w:t>czycielom wyłonić – w drodze dyskusji – komponenty tej umiejętności. Pomocne w przygotowaniu będzie Zalecenie Parlamentu Europejskiego i Rady w</w:t>
      </w:r>
      <w:r w:rsidRPr="006F1875">
        <w:rPr>
          <w:spacing w:val="-17"/>
          <w:sz w:val="22"/>
          <w:szCs w:val="22"/>
        </w:rPr>
        <w:t xml:space="preserve"> </w:t>
      </w:r>
      <w:r w:rsidRPr="006F1875">
        <w:rPr>
          <w:sz w:val="22"/>
          <w:szCs w:val="22"/>
        </w:rPr>
        <w:t>sprawie</w:t>
      </w:r>
      <w:r>
        <w:rPr>
          <w:sz w:val="22"/>
          <w:szCs w:val="22"/>
        </w:rPr>
        <w:t xml:space="preserve"> </w:t>
      </w:r>
      <w:r w:rsidRPr="006F1875">
        <w:rPr>
          <w:sz w:val="22"/>
          <w:szCs w:val="22"/>
        </w:rPr>
        <w:t>kompetencji kluczowych w procesie uczenia się przez całe życi</w:t>
      </w:r>
      <w:r>
        <w:rPr>
          <w:sz w:val="22"/>
          <w:szCs w:val="22"/>
        </w:rPr>
        <w:t>e.</w:t>
      </w:r>
    </w:p>
    <w:p w:rsidR="006F1875" w:rsidRPr="006F1875" w:rsidRDefault="006F1875" w:rsidP="006F1875">
      <w:pPr>
        <w:pStyle w:val="Tekstpodstawowy"/>
        <w:spacing w:before="256" w:line="360" w:lineRule="auto"/>
        <w:rPr>
          <w:sz w:val="22"/>
          <w:szCs w:val="22"/>
        </w:rPr>
      </w:pPr>
      <w:r w:rsidRPr="006F1875">
        <w:rPr>
          <w:b/>
          <w:sz w:val="22"/>
          <w:szCs w:val="22"/>
        </w:rPr>
        <w:t>Materiały biurowe</w:t>
      </w:r>
      <w:r w:rsidRPr="006F1875">
        <w:rPr>
          <w:sz w:val="22"/>
          <w:szCs w:val="22"/>
        </w:rPr>
        <w:t xml:space="preserve">: markery (cztery kolory po sześć </w:t>
      </w:r>
      <w:r>
        <w:rPr>
          <w:sz w:val="22"/>
          <w:szCs w:val="22"/>
        </w:rPr>
        <w:t>sztuk), flipchart, taśma malar</w:t>
      </w:r>
      <w:r w:rsidRPr="006F1875">
        <w:rPr>
          <w:sz w:val="22"/>
          <w:szCs w:val="22"/>
        </w:rPr>
        <w:t>ska, kartki A4</w:t>
      </w:r>
    </w:p>
    <w:p w:rsidR="006F1875" w:rsidRDefault="006F1875" w:rsidP="006F1875">
      <w:pPr>
        <w:spacing w:before="120"/>
        <w:rPr>
          <w:rFonts w:ascii="Arial" w:hAnsi="Arial" w:cs="Arial"/>
        </w:rPr>
      </w:pPr>
      <w:r w:rsidRPr="006F1875">
        <w:rPr>
          <w:rFonts w:ascii="Arial" w:hAnsi="Arial" w:cs="Arial"/>
          <w:b/>
        </w:rPr>
        <w:t>Środki dydaktyczne</w:t>
      </w:r>
      <w:r w:rsidRPr="006F1875">
        <w:rPr>
          <w:rFonts w:ascii="Arial" w:hAnsi="Arial" w:cs="Arial"/>
        </w:rPr>
        <w:t>: komputer lub urządzenie mobilne, projektor</w:t>
      </w:r>
    </w:p>
    <w:p w:rsidR="006F1875" w:rsidRDefault="006F1875" w:rsidP="006F1875">
      <w:pPr>
        <w:pStyle w:val="Heading6"/>
        <w:spacing w:before="93"/>
        <w:ind w:left="0"/>
      </w:pPr>
      <w:r>
        <w:t>Przebieg zajęć</w:t>
      </w:r>
    </w:p>
    <w:p w:rsidR="006F1875" w:rsidRDefault="006F1875" w:rsidP="006F1875">
      <w:pPr>
        <w:pStyle w:val="Tekstpodstawowy"/>
        <w:spacing w:before="3"/>
        <w:rPr>
          <w:b/>
          <w:sz w:val="22"/>
        </w:rPr>
      </w:pPr>
    </w:p>
    <w:p w:rsidR="006F1875" w:rsidRDefault="006F1875" w:rsidP="006F1875">
      <w:pPr>
        <w:pStyle w:val="Akapitzlist"/>
        <w:numPr>
          <w:ilvl w:val="0"/>
          <w:numId w:val="3"/>
        </w:numPr>
        <w:tabs>
          <w:tab w:val="left" w:pos="1119"/>
        </w:tabs>
        <w:spacing w:before="1" w:line="360" w:lineRule="auto"/>
        <w:ind w:left="0"/>
        <w:rPr>
          <w:b/>
          <w:sz w:val="24"/>
        </w:rPr>
      </w:pPr>
      <w:r>
        <w:rPr>
          <w:b/>
          <w:sz w:val="24"/>
        </w:rPr>
        <w:t>Kompetencje kluczowe według zalecenia Parlamentu Europejskiego i Rady (45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minut)</w:t>
      </w:r>
    </w:p>
    <w:p w:rsidR="006F1875" w:rsidRDefault="006F1875" w:rsidP="006F1875">
      <w:pPr>
        <w:pStyle w:val="Tekstpodstawowy"/>
        <w:spacing w:before="161" w:line="360" w:lineRule="auto"/>
      </w:pPr>
      <w:r>
        <w:t xml:space="preserve">Osoba prowadząca prezentuje cel i przebieg spotkania. W celu usystematyzowania wiedzy na temat kompetencji kluczowych proponuje grę Milionerzy z wykorzystaniem aplikacji </w:t>
      </w:r>
      <w:hyperlink r:id="rId9">
        <w:r>
          <w:rPr>
            <w:u w:val="single"/>
          </w:rPr>
          <w:t>learningapps.org</w:t>
        </w:r>
      </w:hyperlink>
      <w:r>
        <w:t>.</w:t>
      </w:r>
    </w:p>
    <w:p w:rsidR="006F1875" w:rsidRDefault="006F1875" w:rsidP="006F1875">
      <w:pPr>
        <w:pStyle w:val="Tekstpodstawowy"/>
        <w:spacing w:before="118" w:line="360" w:lineRule="auto"/>
      </w:pPr>
      <w:r>
        <w:t>Osoba wspomagająca łączy nauczycieli w cztero- lub pięcioosobowe grupy. Następ- nie wprowadza zasady gry: zadaniem grup będzie wybór prawidłowej odpowiedzi spośród czterech możliwych oraz odłożenie na brzeg stołu karty z oznaczeniem A, B, C lub D (nadrukiem do dołu). Każdy zespół, który udzieli poprawnej odpowiedzi, otrzymuje maksimum punktów określonych w danej rundzie (np. 500, 5000, 50 000). Na podjęcie decyzji zespół ma maksymalnie trzy minuty. Lider odpowiada za odłożenie na stół karty z oznaczeniem. Prowadzący – po odkryciu kart z odpowiedziami uczestników – przyznaje punkty i prosi o uzasadnienie podjętej decyzji. Wyniki zapi- suje na flipcharcie.</w:t>
      </w:r>
    </w:p>
    <w:p w:rsidR="006F1875" w:rsidRDefault="006F1875" w:rsidP="006F1875">
      <w:pPr>
        <w:pStyle w:val="Heading6"/>
        <w:numPr>
          <w:ilvl w:val="0"/>
          <w:numId w:val="3"/>
        </w:numPr>
        <w:tabs>
          <w:tab w:val="left" w:pos="1248"/>
          <w:tab w:val="left" w:pos="1249"/>
        </w:tabs>
        <w:spacing w:before="123"/>
        <w:ind w:left="0" w:hanging="492"/>
      </w:pPr>
      <w:r>
        <w:t>Wybrane definicje umiejętności uczenia się (45</w:t>
      </w:r>
      <w:r>
        <w:rPr>
          <w:spacing w:val="3"/>
        </w:rPr>
        <w:t xml:space="preserve"> </w:t>
      </w:r>
      <w:r>
        <w:t>minut)</w:t>
      </w:r>
    </w:p>
    <w:p w:rsidR="006F1875" w:rsidRDefault="006F1875" w:rsidP="006F1875">
      <w:pPr>
        <w:pStyle w:val="Tekstpodstawowy"/>
        <w:spacing w:before="10"/>
        <w:rPr>
          <w:b/>
          <w:sz w:val="25"/>
        </w:rPr>
      </w:pPr>
    </w:p>
    <w:p w:rsidR="006F1875" w:rsidRDefault="006F1875" w:rsidP="006F1875">
      <w:pPr>
        <w:pStyle w:val="Tekstpodstawowy"/>
        <w:spacing w:line="360" w:lineRule="auto"/>
      </w:pPr>
      <w:r>
        <w:t>Kontynuacja pracy w grupach cztero- lub pięcioosobowych. Osoba wspomagająca przekazuje zespołom definicje umiejętności uczenia się, szerokie paski papieru</w:t>
      </w:r>
    </w:p>
    <w:p w:rsidR="006F1875" w:rsidRDefault="006F1875" w:rsidP="006F1875">
      <w:pPr>
        <w:pStyle w:val="Tekstpodstawowy"/>
        <w:spacing w:line="360" w:lineRule="auto"/>
      </w:pPr>
      <w:r>
        <w:t xml:space="preserve">i markery (zob. Załącznik 2). Zaprasza do zapoznania się z definicjami, przedysku- towania ich oraz wypisania poszczególnych elementów umiejętności uczenia się na papierze (każdy na osobnym pasku) w ciągu 15 minut. Następnie inicjuje rundę (do wyczerpania pomysłów) z dyskusją na forum, aby wykluczyć powtarzające się pro- </w:t>
      </w:r>
      <w:r>
        <w:lastRenderedPageBreak/>
        <w:t>pozycje i umożliwić jednakowe rozumienie prezentowanych elementów. Efektem jest mapa umiejętności uczenia się, która powstaje na ścianie, tablicy magnetycznej lub podłodze (w zależności od warunków sali) w ciągu 15 minut. Na jej podstawie można przygotować wspólnie tarczę strzelniczą. Nauczyciele współdecydują, które elementy umieszczą na tarczy. Poniższy opis należy potraktować jako przykład.</w:t>
      </w:r>
    </w:p>
    <w:p w:rsidR="006F1875" w:rsidRDefault="006F1875" w:rsidP="006F1875">
      <w:pPr>
        <w:pStyle w:val="Heading6"/>
        <w:numPr>
          <w:ilvl w:val="0"/>
          <w:numId w:val="3"/>
        </w:numPr>
        <w:tabs>
          <w:tab w:val="left" w:pos="1248"/>
          <w:tab w:val="left" w:pos="1249"/>
        </w:tabs>
        <w:spacing w:before="93" w:line="360" w:lineRule="auto"/>
        <w:ind w:left="0" w:hanging="492"/>
      </w:pPr>
      <w:r>
        <w:t>Konstruowanie narzędzia do diagnozy umiejętności uczenia się (45</w:t>
      </w:r>
      <w:r>
        <w:rPr>
          <w:spacing w:val="-1"/>
        </w:rPr>
        <w:t xml:space="preserve"> </w:t>
      </w:r>
      <w:r>
        <w:t>minut)</w:t>
      </w:r>
    </w:p>
    <w:p w:rsidR="006F1875" w:rsidRDefault="006F1875" w:rsidP="006F1875">
      <w:pPr>
        <w:pStyle w:val="Tekstpodstawowy"/>
        <w:spacing w:before="158" w:line="360" w:lineRule="auto"/>
      </w:pPr>
      <w:r>
        <w:t>W celu określenia, w jakim stopniu uczniowie opanowali wybrane aspekty umiejętności uczenia się, nauczyciele przygotowują narzędzie diagnostyczne. Wyniki prezentowane są na dużej tarczy. Każdy nauczyciel indywidualnie zaznacza swoje „strzały”</w:t>
      </w:r>
    </w:p>
    <w:p w:rsidR="006F1875" w:rsidRDefault="006F1875" w:rsidP="006F1875">
      <w:pPr>
        <w:pStyle w:val="Akapitzlist"/>
        <w:numPr>
          <w:ilvl w:val="0"/>
          <w:numId w:val="4"/>
        </w:numPr>
        <w:tabs>
          <w:tab w:val="left" w:pos="601"/>
        </w:tabs>
        <w:spacing w:before="2" w:line="360" w:lineRule="auto"/>
        <w:ind w:left="0" w:firstLine="0"/>
        <w:rPr>
          <w:sz w:val="24"/>
        </w:rPr>
      </w:pPr>
      <w:r>
        <w:rPr>
          <w:sz w:val="24"/>
        </w:rPr>
        <w:t>im bliżej dziesiątki, tym wyższy stopień opanowania tych aspektów umiejętności uczenia się, które poddawane są refleksji (15</w:t>
      </w:r>
      <w:r>
        <w:rPr>
          <w:spacing w:val="-1"/>
          <w:sz w:val="24"/>
        </w:rPr>
        <w:t xml:space="preserve"> </w:t>
      </w:r>
      <w:r>
        <w:rPr>
          <w:sz w:val="24"/>
        </w:rPr>
        <w:t>minut).</w:t>
      </w:r>
    </w:p>
    <w:p w:rsidR="006F1875" w:rsidRDefault="006F1875" w:rsidP="006F1875">
      <w:pPr>
        <w:pStyle w:val="Tekstpodstawowy"/>
        <w:spacing w:before="120" w:line="360" w:lineRule="auto"/>
      </w:pPr>
      <w:r>
        <w:t>Prowadzący zaprasza do obejrzenia filmu instruktażowego</w:t>
      </w:r>
      <w:r>
        <w:rPr>
          <w:rStyle w:val="Odwoanieprzypisudolnego"/>
        </w:rPr>
        <w:footnoteReference w:id="5"/>
      </w:r>
      <w:r>
        <w:t xml:space="preserve"> – pokazującego, jak dokonać analizy danych zaprezentowanych na tarczy strzelniczej. W filmie przed- stawiona jest uproszczona tarcza, która daje możliwość poznania zasady analizowania danych uzyskanych podczas prowadzenia diagnozy tą metodą. Po obejrzeniu instrukcji uczestnicy – we współpracy z prowadzącym – wracają do danych zebranych w wyniku refleksji nad wybranymi aspektami umiejętności uczenia się i dokonują stopniowej analizy.</w:t>
      </w:r>
    </w:p>
    <w:p w:rsidR="006F1875" w:rsidRDefault="006F1875" w:rsidP="006F1875">
      <w:pPr>
        <w:pStyle w:val="Heading6"/>
        <w:spacing w:before="119"/>
        <w:ind w:left="0"/>
      </w:pPr>
      <w:r>
        <w:t>Etapy prowadzenia analizy:</w:t>
      </w:r>
    </w:p>
    <w:p w:rsidR="006F1875" w:rsidRDefault="006F1875" w:rsidP="006F1875">
      <w:pPr>
        <w:pStyle w:val="Tekstpodstawowy"/>
        <w:spacing w:before="7"/>
        <w:rPr>
          <w:b/>
          <w:sz w:val="22"/>
        </w:rPr>
      </w:pPr>
    </w:p>
    <w:p w:rsidR="006F1875" w:rsidRDefault="006F1875" w:rsidP="006F1875">
      <w:pPr>
        <w:pStyle w:val="Akapitzlist"/>
        <w:numPr>
          <w:ilvl w:val="1"/>
          <w:numId w:val="4"/>
        </w:numPr>
        <w:tabs>
          <w:tab w:val="left" w:pos="1111"/>
          <w:tab w:val="left" w:pos="1112"/>
        </w:tabs>
        <w:ind w:left="0" w:hanging="355"/>
        <w:rPr>
          <w:sz w:val="24"/>
        </w:rPr>
      </w:pPr>
      <w:r>
        <w:rPr>
          <w:b/>
          <w:sz w:val="24"/>
        </w:rPr>
        <w:t xml:space="preserve">Etap 1. </w:t>
      </w:r>
      <w:r>
        <w:rPr>
          <w:sz w:val="24"/>
        </w:rPr>
        <w:t>Dyskusja na</w:t>
      </w:r>
      <w:r>
        <w:rPr>
          <w:spacing w:val="-2"/>
          <w:sz w:val="24"/>
        </w:rPr>
        <w:t xml:space="preserve"> </w:t>
      </w:r>
      <w:r>
        <w:rPr>
          <w:sz w:val="24"/>
        </w:rPr>
        <w:t>forum:</w:t>
      </w:r>
    </w:p>
    <w:p w:rsidR="006F1875" w:rsidRDefault="006F1875" w:rsidP="006F1875">
      <w:pPr>
        <w:pStyle w:val="Akapitzlist"/>
        <w:numPr>
          <w:ilvl w:val="2"/>
          <w:numId w:val="4"/>
        </w:numPr>
        <w:tabs>
          <w:tab w:val="left" w:pos="1839"/>
        </w:tabs>
        <w:spacing w:before="135"/>
        <w:ind w:left="0"/>
        <w:rPr>
          <w:sz w:val="24"/>
        </w:rPr>
      </w:pPr>
      <w:r>
        <w:rPr>
          <w:sz w:val="24"/>
        </w:rPr>
        <w:t>Co wynika z</w:t>
      </w:r>
      <w:r>
        <w:rPr>
          <w:spacing w:val="-4"/>
          <w:sz w:val="24"/>
        </w:rPr>
        <w:t xml:space="preserve"> </w:t>
      </w:r>
      <w:r>
        <w:rPr>
          <w:sz w:val="24"/>
        </w:rPr>
        <w:t>tarczy?</w:t>
      </w:r>
    </w:p>
    <w:p w:rsidR="006F1875" w:rsidRDefault="006F1875" w:rsidP="006F1875">
      <w:pPr>
        <w:pStyle w:val="Akapitzlist"/>
        <w:numPr>
          <w:ilvl w:val="2"/>
          <w:numId w:val="4"/>
        </w:numPr>
        <w:tabs>
          <w:tab w:val="left" w:pos="1839"/>
        </w:tabs>
        <w:spacing w:before="116"/>
        <w:ind w:left="0"/>
        <w:rPr>
          <w:sz w:val="24"/>
        </w:rPr>
      </w:pPr>
      <w:r>
        <w:rPr>
          <w:sz w:val="24"/>
        </w:rPr>
        <w:t>Co jest mocną stroną</w:t>
      </w:r>
      <w:r>
        <w:rPr>
          <w:spacing w:val="-5"/>
          <w:sz w:val="24"/>
        </w:rPr>
        <w:t xml:space="preserve"> </w:t>
      </w:r>
      <w:r>
        <w:rPr>
          <w:sz w:val="24"/>
        </w:rPr>
        <w:t>uczniów?</w:t>
      </w:r>
    </w:p>
    <w:p w:rsidR="006F1875" w:rsidRDefault="006F1875" w:rsidP="006F1875">
      <w:pPr>
        <w:pStyle w:val="Akapitzlist"/>
        <w:numPr>
          <w:ilvl w:val="2"/>
          <w:numId w:val="4"/>
        </w:numPr>
        <w:tabs>
          <w:tab w:val="left" w:pos="1839"/>
        </w:tabs>
        <w:spacing w:before="118"/>
        <w:ind w:left="0"/>
        <w:rPr>
          <w:sz w:val="24"/>
        </w:rPr>
      </w:pPr>
      <w:r>
        <w:rPr>
          <w:sz w:val="24"/>
        </w:rPr>
        <w:t>Po czym poznałaś/poznałeś, że jest to mocną stroną</w:t>
      </w:r>
      <w:r>
        <w:rPr>
          <w:spacing w:val="-8"/>
          <w:sz w:val="24"/>
        </w:rPr>
        <w:t xml:space="preserve"> </w:t>
      </w:r>
      <w:r>
        <w:rPr>
          <w:sz w:val="24"/>
        </w:rPr>
        <w:t>uczniów?</w:t>
      </w:r>
    </w:p>
    <w:p w:rsidR="006F1875" w:rsidRDefault="006F1875" w:rsidP="006F1875">
      <w:pPr>
        <w:pStyle w:val="Akapitzlist"/>
        <w:numPr>
          <w:ilvl w:val="1"/>
          <w:numId w:val="4"/>
        </w:numPr>
        <w:tabs>
          <w:tab w:val="left" w:pos="1111"/>
          <w:tab w:val="left" w:pos="1112"/>
        </w:tabs>
        <w:spacing w:before="116"/>
        <w:ind w:left="0" w:hanging="355"/>
        <w:rPr>
          <w:sz w:val="24"/>
        </w:rPr>
      </w:pPr>
      <w:r>
        <w:rPr>
          <w:b/>
          <w:sz w:val="24"/>
        </w:rPr>
        <w:t xml:space="preserve">Etap 2. </w:t>
      </w:r>
      <w:r>
        <w:rPr>
          <w:sz w:val="24"/>
        </w:rPr>
        <w:t>Dyskusja na</w:t>
      </w:r>
      <w:r>
        <w:rPr>
          <w:spacing w:val="-2"/>
          <w:sz w:val="24"/>
        </w:rPr>
        <w:t xml:space="preserve"> </w:t>
      </w:r>
      <w:r>
        <w:rPr>
          <w:sz w:val="24"/>
        </w:rPr>
        <w:t>forum:</w:t>
      </w:r>
    </w:p>
    <w:p w:rsidR="006F1875" w:rsidRDefault="006F1875" w:rsidP="006F1875">
      <w:pPr>
        <w:pStyle w:val="Akapitzlist"/>
        <w:numPr>
          <w:ilvl w:val="2"/>
          <w:numId w:val="4"/>
        </w:numPr>
        <w:tabs>
          <w:tab w:val="left" w:pos="1839"/>
        </w:tabs>
        <w:spacing w:before="138"/>
        <w:ind w:left="0"/>
        <w:rPr>
          <w:sz w:val="24"/>
        </w:rPr>
      </w:pPr>
      <w:r>
        <w:rPr>
          <w:sz w:val="24"/>
        </w:rPr>
        <w:t>Co warto wzmacniać i rozwijać?</w:t>
      </w:r>
    </w:p>
    <w:p w:rsidR="006F1875" w:rsidRDefault="006F1875" w:rsidP="006F1875">
      <w:pPr>
        <w:pStyle w:val="Akapitzlist"/>
        <w:numPr>
          <w:ilvl w:val="2"/>
          <w:numId w:val="4"/>
        </w:numPr>
        <w:tabs>
          <w:tab w:val="left" w:pos="1839"/>
        </w:tabs>
        <w:spacing w:before="115"/>
        <w:ind w:left="0"/>
        <w:rPr>
          <w:sz w:val="24"/>
        </w:rPr>
      </w:pPr>
      <w:r>
        <w:rPr>
          <w:sz w:val="24"/>
        </w:rPr>
        <w:t>Po czym poznałaś/poznałeś, że to element</w:t>
      </w:r>
      <w:r>
        <w:rPr>
          <w:spacing w:val="3"/>
          <w:sz w:val="24"/>
        </w:rPr>
        <w:t xml:space="preserve"> </w:t>
      </w:r>
      <w:r>
        <w:rPr>
          <w:sz w:val="24"/>
        </w:rPr>
        <w:t>rozwoju?</w:t>
      </w:r>
    </w:p>
    <w:p w:rsidR="006F1875" w:rsidRDefault="006F1875" w:rsidP="006F1875">
      <w:pPr>
        <w:pStyle w:val="Akapitzlist"/>
        <w:numPr>
          <w:ilvl w:val="1"/>
          <w:numId w:val="4"/>
        </w:numPr>
        <w:tabs>
          <w:tab w:val="left" w:pos="1111"/>
          <w:tab w:val="left" w:pos="1112"/>
        </w:tabs>
        <w:spacing w:before="117"/>
        <w:ind w:left="0" w:hanging="355"/>
        <w:rPr>
          <w:sz w:val="24"/>
        </w:rPr>
      </w:pPr>
      <w:r>
        <w:rPr>
          <w:b/>
          <w:sz w:val="24"/>
        </w:rPr>
        <w:t>Etap 3</w:t>
      </w:r>
      <w:r>
        <w:rPr>
          <w:sz w:val="24"/>
        </w:rPr>
        <w:t>. Wspólne określenie celu</w:t>
      </w:r>
      <w:r>
        <w:rPr>
          <w:spacing w:val="-9"/>
          <w:sz w:val="24"/>
        </w:rPr>
        <w:t xml:space="preserve"> </w:t>
      </w:r>
      <w:r>
        <w:rPr>
          <w:sz w:val="24"/>
        </w:rPr>
        <w:t>zmiany.</w:t>
      </w:r>
    </w:p>
    <w:p w:rsidR="006F1875" w:rsidRDefault="006F1875" w:rsidP="006F1875">
      <w:pPr>
        <w:pStyle w:val="Tekstpodstawowy"/>
        <w:spacing w:before="8"/>
        <w:rPr>
          <w:sz w:val="25"/>
        </w:rPr>
      </w:pPr>
    </w:p>
    <w:p w:rsidR="006F1875" w:rsidRDefault="006F1875" w:rsidP="006F1875">
      <w:pPr>
        <w:pStyle w:val="Tekstpodstawowy"/>
        <w:spacing w:line="360" w:lineRule="auto"/>
      </w:pPr>
      <w:r>
        <w:t xml:space="preserve">Po dokonaniu pogłębionej diagnozy nauczyciele – we współpracy z osobą </w:t>
      </w:r>
      <w:r>
        <w:lastRenderedPageBreak/>
        <w:t>wspomagającą – określają cel ogólny oraz cele szczegółowe.</w:t>
      </w:r>
    </w:p>
    <w:p w:rsidR="006F1875" w:rsidRDefault="006F1875" w:rsidP="006F1875">
      <w:pPr>
        <w:pStyle w:val="Tekstpodstawowy"/>
        <w:rPr>
          <w:sz w:val="20"/>
        </w:rPr>
      </w:pPr>
    </w:p>
    <w:p w:rsidR="006F1875" w:rsidRDefault="006F1875" w:rsidP="006F1875">
      <w:pPr>
        <w:spacing w:before="120"/>
        <w:rPr>
          <w:sz w:val="20"/>
        </w:rPr>
      </w:pPr>
    </w:p>
    <w:p w:rsidR="006F1875" w:rsidRDefault="006F1875" w:rsidP="006F1875">
      <w:pPr>
        <w:pStyle w:val="Tekstpodstawowy"/>
        <w:spacing w:before="6" w:line="530" w:lineRule="atLeast"/>
        <w:jc w:val="both"/>
        <w:rPr>
          <w:sz w:val="21"/>
        </w:rPr>
      </w:pPr>
      <w:r w:rsidRPr="007A227F">
        <w:pict>
          <v:line id="_x0000_s1026" style="position:absolute;left:0;text-align:left;z-index:-251656192;mso-wrap-distance-left:0;mso-wrap-distance-right:0;mso-position-horizontal-relative:page" from="70.95pt,14.55pt" to="214.95pt,14.55pt" strokeweight=".21169mm">
            <w10:wrap type="topAndBottom" anchorx="page"/>
          </v:line>
        </w:pict>
      </w:r>
    </w:p>
    <w:p w:rsidR="006F1875" w:rsidRDefault="006F1875" w:rsidP="006F1875">
      <w:pPr>
        <w:spacing w:before="39"/>
        <w:rPr>
          <w:sz w:val="20"/>
        </w:rPr>
      </w:pPr>
    </w:p>
    <w:p w:rsidR="006F1875" w:rsidRDefault="006F1875" w:rsidP="00225B40">
      <w:pPr>
        <w:pStyle w:val="Tekstpodstawowy"/>
        <w:spacing w:line="360" w:lineRule="auto"/>
        <w:ind w:left="398" w:right="753"/>
      </w:pPr>
    </w:p>
    <w:p w:rsidR="00225B40" w:rsidRDefault="00225B40"/>
    <w:sectPr w:rsidR="00225B40" w:rsidSect="006B4D13">
      <w:headerReference w:type="default" r:id="rId10"/>
      <w:footerReference w:type="default" r:id="rId11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7721" w:rsidRDefault="006B7721" w:rsidP="006B4D13">
      <w:pPr>
        <w:spacing w:after="0" w:line="240" w:lineRule="auto"/>
      </w:pPr>
      <w:r>
        <w:separator/>
      </w:r>
    </w:p>
  </w:endnote>
  <w:endnote w:type="continuationSeparator" w:id="1">
    <w:p w:rsidR="006B7721" w:rsidRDefault="006B7721" w:rsidP="006B4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D13" w:rsidRDefault="006B4D13" w:rsidP="006B4D13">
    <w:pPr>
      <w:pStyle w:val="Stopka"/>
      <w:jc w:val="right"/>
    </w:pPr>
    <w:r w:rsidRPr="006B4D13">
      <w:rPr>
        <w:noProof/>
        <w:lang w:eastAsia="pl-PL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4462532</wp:posOffset>
          </wp:positionH>
          <wp:positionV relativeFrom="paragraph">
            <wp:posOffset>-259825</wp:posOffset>
          </wp:positionV>
          <wp:extent cx="782761" cy="723569"/>
          <wp:effectExtent l="19050" t="0" r="0" b="0"/>
          <wp:wrapNone/>
          <wp:docPr id="6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>
                          <a14:imgLayer r:embed="rId5">
                            <a14:imgEffect>
                              <a14:sharpenSoften amount="50000"/>
                            </a14:imgEffect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761" cy="7235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6B4D13"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5556664</wp:posOffset>
          </wp:positionH>
          <wp:positionV relativeFrom="paragraph">
            <wp:posOffset>-140556</wp:posOffset>
          </wp:positionV>
          <wp:extent cx="644056" cy="472633"/>
          <wp:effectExtent l="19050" t="0" r="3644" b="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BEBA8EAE-BF5A-486C-A8C5-ECC9F3942E4B}">
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>
                          <a14:imgLayer r:embed="rId7">
                            <a14:imgEffect>
                              <a14:saturation sat="0"/>
                            </a14:imgEffect>
                            <a14:imgEffect>
                              <a14:brightnessContrast bright="-20000"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4056" cy="47263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7721" w:rsidRDefault="006B7721" w:rsidP="006B4D13">
      <w:pPr>
        <w:spacing w:after="0" w:line="240" w:lineRule="auto"/>
      </w:pPr>
      <w:r>
        <w:separator/>
      </w:r>
    </w:p>
  </w:footnote>
  <w:footnote w:type="continuationSeparator" w:id="1">
    <w:p w:rsidR="006B7721" w:rsidRDefault="006B7721" w:rsidP="006B4D13">
      <w:pPr>
        <w:spacing w:after="0" w:line="240" w:lineRule="auto"/>
      </w:pPr>
      <w:r>
        <w:continuationSeparator/>
      </w:r>
    </w:p>
  </w:footnote>
  <w:footnote w:id="2">
    <w:p w:rsidR="00225B40" w:rsidRDefault="00225B40">
      <w:pPr>
        <w:pStyle w:val="Tekstprzypisudolnego"/>
      </w:pPr>
      <w:r>
        <w:rPr>
          <w:rStyle w:val="Odwoanieprzypisudolnego"/>
        </w:rPr>
        <w:footnoteRef/>
      </w:r>
      <w:r>
        <w:t xml:space="preserve"> D. Pintal, D. Tomaszewicz „Wspomaganie szkół w rozwoju umiejętności uczenia się rzez eksperymentowanie” ORE, dostęp on-line 12.12.2018.</w:t>
      </w:r>
    </w:p>
  </w:footnote>
  <w:footnote w:id="3">
    <w:p w:rsidR="006F1875" w:rsidRDefault="006F187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hyperlink r:id="rId1">
        <w:r>
          <w:rPr>
            <w:u w:val="single"/>
          </w:rPr>
          <w:t>www.learningapps.org</w:t>
        </w:r>
        <w:r>
          <w:t xml:space="preserve"> </w:t>
        </w:r>
      </w:hyperlink>
      <w:r>
        <w:t>[online, dostęp dn.27.01.2017].</w:t>
      </w:r>
    </w:p>
  </w:footnote>
  <w:footnote w:id="4">
    <w:p w:rsidR="006F1875" w:rsidRDefault="006F1875">
      <w:pPr>
        <w:pStyle w:val="Tekstprzypisudolnego"/>
      </w:pPr>
      <w:r>
        <w:rPr>
          <w:rStyle w:val="Odwoanieprzypisudolnego"/>
        </w:rPr>
        <w:footnoteRef/>
      </w:r>
      <w:r>
        <w:t xml:space="preserve"> Zalecenie Parlamentu Europejskiego i Rady z dnia 18 grudnia 2006 r</w:t>
      </w:r>
    </w:p>
  </w:footnote>
  <w:footnote w:id="5">
    <w:p w:rsidR="006F1875" w:rsidRDefault="006F1875">
      <w:pPr>
        <w:pStyle w:val="Tekstprzypisudolnego"/>
      </w:pPr>
      <w:r>
        <w:rPr>
          <w:rStyle w:val="Odwoanieprzypisudolnego"/>
        </w:rPr>
        <w:footnoteRef/>
      </w:r>
      <w:r>
        <w:t xml:space="preserve"> Era Ewaluacji, </w:t>
      </w:r>
      <w:hyperlink r:id="rId2">
        <w:r>
          <w:rPr>
            <w:i/>
            <w:u w:val="single"/>
          </w:rPr>
          <w:t>Tarcza strzelnicza</w:t>
        </w:r>
        <w:r>
          <w:rPr>
            <w:i/>
          </w:rPr>
          <w:t xml:space="preserve"> </w:t>
        </w:r>
      </w:hyperlink>
      <w:r>
        <w:t xml:space="preserve">[online, dostęp dn. 20.02.2017]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D13" w:rsidRDefault="006B4D13" w:rsidP="006B4D13">
    <w:pPr>
      <w:pStyle w:val="Nagwek"/>
      <w:jc w:val="center"/>
      <w:rPr>
        <w:sz w:val="18"/>
      </w:rPr>
    </w:pPr>
    <w:r w:rsidRPr="006B4D13">
      <w:rPr>
        <w:noProof/>
        <w:sz w:val="18"/>
        <w:lang w:eastAsia="pl-PL"/>
      </w:rPr>
      <w:drawing>
        <wp:inline distT="0" distB="0" distL="0" distR="0">
          <wp:extent cx="5760720" cy="1127636"/>
          <wp:effectExtent l="19050" t="0" r="0" b="0"/>
          <wp:docPr id="3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2763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B4D13" w:rsidRPr="006B4D13" w:rsidRDefault="006B4D13" w:rsidP="006B4D13">
    <w:pPr>
      <w:pStyle w:val="Nagwek"/>
      <w:jc w:val="center"/>
    </w:pP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427B0"/>
    <w:multiLevelType w:val="hybridMultilevel"/>
    <w:tmpl w:val="70C0E83C"/>
    <w:lvl w:ilvl="0" w:tplc="E9C0FFB4">
      <w:start w:val="1"/>
      <w:numFmt w:val="decimal"/>
      <w:lvlText w:val="%1."/>
      <w:lvlJc w:val="left"/>
      <w:pPr>
        <w:ind w:left="1250" w:hanging="492"/>
        <w:jc w:val="left"/>
      </w:pPr>
      <w:rPr>
        <w:rFonts w:ascii="Arial" w:eastAsia="Arial" w:hAnsi="Arial" w:cs="Arial" w:hint="default"/>
        <w:spacing w:val="-3"/>
        <w:w w:val="99"/>
        <w:sz w:val="24"/>
        <w:szCs w:val="24"/>
        <w:lang w:val="pl-PL" w:eastAsia="pl-PL" w:bidi="pl-PL"/>
      </w:rPr>
    </w:lvl>
    <w:lvl w:ilvl="1" w:tplc="3CB441AA">
      <w:numFmt w:val="bullet"/>
      <w:lvlText w:val="•"/>
      <w:lvlJc w:val="left"/>
      <w:pPr>
        <w:ind w:left="2152" w:hanging="492"/>
      </w:pPr>
      <w:rPr>
        <w:rFonts w:hint="default"/>
        <w:lang w:val="pl-PL" w:eastAsia="pl-PL" w:bidi="pl-PL"/>
      </w:rPr>
    </w:lvl>
    <w:lvl w:ilvl="2" w:tplc="7D0EE92E">
      <w:numFmt w:val="bullet"/>
      <w:lvlText w:val="•"/>
      <w:lvlJc w:val="left"/>
      <w:pPr>
        <w:ind w:left="3045" w:hanging="492"/>
      </w:pPr>
      <w:rPr>
        <w:rFonts w:hint="default"/>
        <w:lang w:val="pl-PL" w:eastAsia="pl-PL" w:bidi="pl-PL"/>
      </w:rPr>
    </w:lvl>
    <w:lvl w:ilvl="3" w:tplc="30A0F540">
      <w:numFmt w:val="bullet"/>
      <w:lvlText w:val="•"/>
      <w:lvlJc w:val="left"/>
      <w:pPr>
        <w:ind w:left="3937" w:hanging="492"/>
      </w:pPr>
      <w:rPr>
        <w:rFonts w:hint="default"/>
        <w:lang w:val="pl-PL" w:eastAsia="pl-PL" w:bidi="pl-PL"/>
      </w:rPr>
    </w:lvl>
    <w:lvl w:ilvl="4" w:tplc="50FA1678">
      <w:numFmt w:val="bullet"/>
      <w:lvlText w:val="•"/>
      <w:lvlJc w:val="left"/>
      <w:pPr>
        <w:ind w:left="4830" w:hanging="492"/>
      </w:pPr>
      <w:rPr>
        <w:rFonts w:hint="default"/>
        <w:lang w:val="pl-PL" w:eastAsia="pl-PL" w:bidi="pl-PL"/>
      </w:rPr>
    </w:lvl>
    <w:lvl w:ilvl="5" w:tplc="82B86D56">
      <w:numFmt w:val="bullet"/>
      <w:lvlText w:val="•"/>
      <w:lvlJc w:val="left"/>
      <w:pPr>
        <w:ind w:left="5723" w:hanging="492"/>
      </w:pPr>
      <w:rPr>
        <w:rFonts w:hint="default"/>
        <w:lang w:val="pl-PL" w:eastAsia="pl-PL" w:bidi="pl-PL"/>
      </w:rPr>
    </w:lvl>
    <w:lvl w:ilvl="6" w:tplc="E772AE80">
      <w:numFmt w:val="bullet"/>
      <w:lvlText w:val="•"/>
      <w:lvlJc w:val="left"/>
      <w:pPr>
        <w:ind w:left="6615" w:hanging="492"/>
      </w:pPr>
      <w:rPr>
        <w:rFonts w:hint="default"/>
        <w:lang w:val="pl-PL" w:eastAsia="pl-PL" w:bidi="pl-PL"/>
      </w:rPr>
    </w:lvl>
    <w:lvl w:ilvl="7" w:tplc="D03049BE">
      <w:numFmt w:val="bullet"/>
      <w:lvlText w:val="•"/>
      <w:lvlJc w:val="left"/>
      <w:pPr>
        <w:ind w:left="7508" w:hanging="492"/>
      </w:pPr>
      <w:rPr>
        <w:rFonts w:hint="default"/>
        <w:lang w:val="pl-PL" w:eastAsia="pl-PL" w:bidi="pl-PL"/>
      </w:rPr>
    </w:lvl>
    <w:lvl w:ilvl="8" w:tplc="8D3E1E26">
      <w:numFmt w:val="bullet"/>
      <w:lvlText w:val="•"/>
      <w:lvlJc w:val="left"/>
      <w:pPr>
        <w:ind w:left="8401" w:hanging="492"/>
      </w:pPr>
      <w:rPr>
        <w:rFonts w:hint="default"/>
        <w:lang w:val="pl-PL" w:eastAsia="pl-PL" w:bidi="pl-PL"/>
      </w:rPr>
    </w:lvl>
  </w:abstractNum>
  <w:abstractNum w:abstractNumId="1">
    <w:nsid w:val="16655F02"/>
    <w:multiLevelType w:val="hybridMultilevel"/>
    <w:tmpl w:val="20084E2E"/>
    <w:lvl w:ilvl="0" w:tplc="BEF077C8">
      <w:start w:val="1"/>
      <w:numFmt w:val="decimal"/>
      <w:lvlText w:val="%1."/>
      <w:lvlJc w:val="left"/>
      <w:pPr>
        <w:ind w:left="1118" w:hanging="360"/>
        <w:jc w:val="left"/>
      </w:pPr>
      <w:rPr>
        <w:rFonts w:ascii="Arial" w:eastAsia="Arial" w:hAnsi="Arial" w:cs="Arial" w:hint="default"/>
        <w:spacing w:val="-6"/>
        <w:w w:val="99"/>
        <w:sz w:val="24"/>
        <w:szCs w:val="24"/>
        <w:lang w:val="pl-PL" w:eastAsia="pl-PL" w:bidi="pl-PL"/>
      </w:rPr>
    </w:lvl>
    <w:lvl w:ilvl="1" w:tplc="A2D2EA72">
      <w:numFmt w:val="bullet"/>
      <w:lvlText w:val="•"/>
      <w:lvlJc w:val="left"/>
      <w:pPr>
        <w:ind w:left="2026" w:hanging="360"/>
      </w:pPr>
      <w:rPr>
        <w:rFonts w:hint="default"/>
        <w:lang w:val="pl-PL" w:eastAsia="pl-PL" w:bidi="pl-PL"/>
      </w:rPr>
    </w:lvl>
    <w:lvl w:ilvl="2" w:tplc="A2D67FEA">
      <w:numFmt w:val="bullet"/>
      <w:lvlText w:val="•"/>
      <w:lvlJc w:val="left"/>
      <w:pPr>
        <w:ind w:left="2933" w:hanging="360"/>
      </w:pPr>
      <w:rPr>
        <w:rFonts w:hint="default"/>
        <w:lang w:val="pl-PL" w:eastAsia="pl-PL" w:bidi="pl-PL"/>
      </w:rPr>
    </w:lvl>
    <w:lvl w:ilvl="3" w:tplc="B8ECC28A">
      <w:numFmt w:val="bullet"/>
      <w:lvlText w:val="•"/>
      <w:lvlJc w:val="left"/>
      <w:pPr>
        <w:ind w:left="3839" w:hanging="360"/>
      </w:pPr>
      <w:rPr>
        <w:rFonts w:hint="default"/>
        <w:lang w:val="pl-PL" w:eastAsia="pl-PL" w:bidi="pl-PL"/>
      </w:rPr>
    </w:lvl>
    <w:lvl w:ilvl="4" w:tplc="CD3401D0">
      <w:numFmt w:val="bullet"/>
      <w:lvlText w:val="•"/>
      <w:lvlJc w:val="left"/>
      <w:pPr>
        <w:ind w:left="4746" w:hanging="360"/>
      </w:pPr>
      <w:rPr>
        <w:rFonts w:hint="default"/>
        <w:lang w:val="pl-PL" w:eastAsia="pl-PL" w:bidi="pl-PL"/>
      </w:rPr>
    </w:lvl>
    <w:lvl w:ilvl="5" w:tplc="0354EE52">
      <w:numFmt w:val="bullet"/>
      <w:lvlText w:val="•"/>
      <w:lvlJc w:val="left"/>
      <w:pPr>
        <w:ind w:left="5653" w:hanging="360"/>
      </w:pPr>
      <w:rPr>
        <w:rFonts w:hint="default"/>
        <w:lang w:val="pl-PL" w:eastAsia="pl-PL" w:bidi="pl-PL"/>
      </w:rPr>
    </w:lvl>
    <w:lvl w:ilvl="6" w:tplc="7A28EBCC">
      <w:numFmt w:val="bullet"/>
      <w:lvlText w:val="•"/>
      <w:lvlJc w:val="left"/>
      <w:pPr>
        <w:ind w:left="6559" w:hanging="360"/>
      </w:pPr>
      <w:rPr>
        <w:rFonts w:hint="default"/>
        <w:lang w:val="pl-PL" w:eastAsia="pl-PL" w:bidi="pl-PL"/>
      </w:rPr>
    </w:lvl>
    <w:lvl w:ilvl="7" w:tplc="8D94F4D4">
      <w:numFmt w:val="bullet"/>
      <w:lvlText w:val="•"/>
      <w:lvlJc w:val="left"/>
      <w:pPr>
        <w:ind w:left="7466" w:hanging="360"/>
      </w:pPr>
      <w:rPr>
        <w:rFonts w:hint="default"/>
        <w:lang w:val="pl-PL" w:eastAsia="pl-PL" w:bidi="pl-PL"/>
      </w:rPr>
    </w:lvl>
    <w:lvl w:ilvl="8" w:tplc="024465F0">
      <w:numFmt w:val="bullet"/>
      <w:lvlText w:val="•"/>
      <w:lvlJc w:val="left"/>
      <w:pPr>
        <w:ind w:left="8373" w:hanging="360"/>
      </w:pPr>
      <w:rPr>
        <w:rFonts w:hint="default"/>
        <w:lang w:val="pl-PL" w:eastAsia="pl-PL" w:bidi="pl-PL"/>
      </w:rPr>
    </w:lvl>
  </w:abstractNum>
  <w:abstractNum w:abstractNumId="2">
    <w:nsid w:val="1C0E6DB3"/>
    <w:multiLevelType w:val="hybridMultilevel"/>
    <w:tmpl w:val="68F2A4F4"/>
    <w:lvl w:ilvl="0" w:tplc="AED0CEA8">
      <w:numFmt w:val="bullet"/>
      <w:lvlText w:val="–"/>
      <w:lvlJc w:val="left"/>
      <w:pPr>
        <w:ind w:left="398" w:hanging="202"/>
      </w:pPr>
      <w:rPr>
        <w:rFonts w:ascii="Arial" w:eastAsia="Arial" w:hAnsi="Arial" w:cs="Arial" w:hint="default"/>
        <w:w w:val="100"/>
        <w:sz w:val="24"/>
        <w:szCs w:val="24"/>
        <w:lang w:val="pl-PL" w:eastAsia="pl-PL" w:bidi="pl-PL"/>
      </w:rPr>
    </w:lvl>
    <w:lvl w:ilvl="1" w:tplc="B1326B34">
      <w:numFmt w:val="bullet"/>
      <w:lvlText w:val=""/>
      <w:lvlJc w:val="left"/>
      <w:pPr>
        <w:ind w:left="1111" w:hanging="356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2" w:tplc="07049334">
      <w:numFmt w:val="bullet"/>
      <w:lvlText w:val="-"/>
      <w:lvlJc w:val="left"/>
      <w:pPr>
        <w:ind w:left="1838" w:hanging="360"/>
      </w:pPr>
      <w:rPr>
        <w:rFonts w:ascii="Courier New" w:eastAsia="Courier New" w:hAnsi="Courier New" w:cs="Courier New" w:hint="default"/>
        <w:w w:val="100"/>
        <w:sz w:val="24"/>
        <w:szCs w:val="24"/>
        <w:lang w:val="pl-PL" w:eastAsia="pl-PL" w:bidi="pl-PL"/>
      </w:rPr>
    </w:lvl>
    <w:lvl w:ilvl="3" w:tplc="BDACDE9C">
      <w:numFmt w:val="bullet"/>
      <w:lvlText w:val="•"/>
      <w:lvlJc w:val="left"/>
      <w:pPr>
        <w:ind w:left="2883" w:hanging="360"/>
      </w:pPr>
      <w:rPr>
        <w:rFonts w:hint="default"/>
        <w:lang w:val="pl-PL" w:eastAsia="pl-PL" w:bidi="pl-PL"/>
      </w:rPr>
    </w:lvl>
    <w:lvl w:ilvl="4" w:tplc="99EEE6E6">
      <w:numFmt w:val="bullet"/>
      <w:lvlText w:val="•"/>
      <w:lvlJc w:val="left"/>
      <w:pPr>
        <w:ind w:left="3926" w:hanging="360"/>
      </w:pPr>
      <w:rPr>
        <w:rFonts w:hint="default"/>
        <w:lang w:val="pl-PL" w:eastAsia="pl-PL" w:bidi="pl-PL"/>
      </w:rPr>
    </w:lvl>
    <w:lvl w:ilvl="5" w:tplc="824AAE18">
      <w:numFmt w:val="bullet"/>
      <w:lvlText w:val="•"/>
      <w:lvlJc w:val="left"/>
      <w:pPr>
        <w:ind w:left="4969" w:hanging="360"/>
      </w:pPr>
      <w:rPr>
        <w:rFonts w:hint="default"/>
        <w:lang w:val="pl-PL" w:eastAsia="pl-PL" w:bidi="pl-PL"/>
      </w:rPr>
    </w:lvl>
    <w:lvl w:ilvl="6" w:tplc="5BE28898">
      <w:numFmt w:val="bullet"/>
      <w:lvlText w:val="•"/>
      <w:lvlJc w:val="left"/>
      <w:pPr>
        <w:ind w:left="6013" w:hanging="360"/>
      </w:pPr>
      <w:rPr>
        <w:rFonts w:hint="default"/>
        <w:lang w:val="pl-PL" w:eastAsia="pl-PL" w:bidi="pl-PL"/>
      </w:rPr>
    </w:lvl>
    <w:lvl w:ilvl="7" w:tplc="D5B86C78">
      <w:numFmt w:val="bullet"/>
      <w:lvlText w:val="•"/>
      <w:lvlJc w:val="left"/>
      <w:pPr>
        <w:ind w:left="7056" w:hanging="360"/>
      </w:pPr>
      <w:rPr>
        <w:rFonts w:hint="default"/>
        <w:lang w:val="pl-PL" w:eastAsia="pl-PL" w:bidi="pl-PL"/>
      </w:rPr>
    </w:lvl>
    <w:lvl w:ilvl="8" w:tplc="9B78DF4E">
      <w:numFmt w:val="bullet"/>
      <w:lvlText w:val="•"/>
      <w:lvlJc w:val="left"/>
      <w:pPr>
        <w:ind w:left="8099" w:hanging="360"/>
      </w:pPr>
      <w:rPr>
        <w:rFonts w:hint="default"/>
        <w:lang w:val="pl-PL" w:eastAsia="pl-PL" w:bidi="pl-PL"/>
      </w:rPr>
    </w:lvl>
  </w:abstractNum>
  <w:abstractNum w:abstractNumId="3">
    <w:nsid w:val="56220BAB"/>
    <w:multiLevelType w:val="hybridMultilevel"/>
    <w:tmpl w:val="9DFE98E6"/>
    <w:lvl w:ilvl="0" w:tplc="19A8AFD6">
      <w:numFmt w:val="bullet"/>
      <w:lvlText w:val=""/>
      <w:lvlJc w:val="left"/>
      <w:pPr>
        <w:ind w:left="758" w:hanging="360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1EBA5124">
      <w:numFmt w:val="bullet"/>
      <w:lvlText w:val=""/>
      <w:lvlJc w:val="left"/>
      <w:pPr>
        <w:ind w:left="1111" w:hanging="356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2" w:tplc="5630D31E">
      <w:numFmt w:val="bullet"/>
      <w:lvlText w:val="•"/>
      <w:lvlJc w:val="left"/>
      <w:pPr>
        <w:ind w:left="2127" w:hanging="356"/>
      </w:pPr>
      <w:rPr>
        <w:rFonts w:hint="default"/>
        <w:lang w:val="pl-PL" w:eastAsia="pl-PL" w:bidi="pl-PL"/>
      </w:rPr>
    </w:lvl>
    <w:lvl w:ilvl="3" w:tplc="E41C86A2">
      <w:numFmt w:val="bullet"/>
      <w:lvlText w:val="•"/>
      <w:lvlJc w:val="left"/>
      <w:pPr>
        <w:ind w:left="3134" w:hanging="356"/>
      </w:pPr>
      <w:rPr>
        <w:rFonts w:hint="default"/>
        <w:lang w:val="pl-PL" w:eastAsia="pl-PL" w:bidi="pl-PL"/>
      </w:rPr>
    </w:lvl>
    <w:lvl w:ilvl="4" w:tplc="5CCA3B66">
      <w:numFmt w:val="bullet"/>
      <w:lvlText w:val="•"/>
      <w:lvlJc w:val="left"/>
      <w:pPr>
        <w:ind w:left="4142" w:hanging="356"/>
      </w:pPr>
      <w:rPr>
        <w:rFonts w:hint="default"/>
        <w:lang w:val="pl-PL" w:eastAsia="pl-PL" w:bidi="pl-PL"/>
      </w:rPr>
    </w:lvl>
    <w:lvl w:ilvl="5" w:tplc="429E243E">
      <w:numFmt w:val="bullet"/>
      <w:lvlText w:val="•"/>
      <w:lvlJc w:val="left"/>
      <w:pPr>
        <w:ind w:left="5149" w:hanging="356"/>
      </w:pPr>
      <w:rPr>
        <w:rFonts w:hint="default"/>
        <w:lang w:val="pl-PL" w:eastAsia="pl-PL" w:bidi="pl-PL"/>
      </w:rPr>
    </w:lvl>
    <w:lvl w:ilvl="6" w:tplc="BDBED8A2">
      <w:numFmt w:val="bullet"/>
      <w:lvlText w:val="•"/>
      <w:lvlJc w:val="left"/>
      <w:pPr>
        <w:ind w:left="6156" w:hanging="356"/>
      </w:pPr>
      <w:rPr>
        <w:rFonts w:hint="default"/>
        <w:lang w:val="pl-PL" w:eastAsia="pl-PL" w:bidi="pl-PL"/>
      </w:rPr>
    </w:lvl>
    <w:lvl w:ilvl="7" w:tplc="7FB26356">
      <w:numFmt w:val="bullet"/>
      <w:lvlText w:val="•"/>
      <w:lvlJc w:val="left"/>
      <w:pPr>
        <w:ind w:left="7164" w:hanging="356"/>
      </w:pPr>
      <w:rPr>
        <w:rFonts w:hint="default"/>
        <w:lang w:val="pl-PL" w:eastAsia="pl-PL" w:bidi="pl-PL"/>
      </w:rPr>
    </w:lvl>
    <w:lvl w:ilvl="8" w:tplc="74A2095A">
      <w:numFmt w:val="bullet"/>
      <w:lvlText w:val="•"/>
      <w:lvlJc w:val="left"/>
      <w:pPr>
        <w:ind w:left="8171" w:hanging="356"/>
      </w:pPr>
      <w:rPr>
        <w:rFonts w:hint="default"/>
        <w:lang w:val="pl-PL" w:eastAsia="pl-PL" w:bidi="pl-PL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4D13"/>
    <w:rsid w:val="00225B40"/>
    <w:rsid w:val="00446364"/>
    <w:rsid w:val="00655FBB"/>
    <w:rsid w:val="006B4D13"/>
    <w:rsid w:val="006B7721"/>
    <w:rsid w:val="006F1875"/>
    <w:rsid w:val="007D3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63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6B4D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B4D13"/>
  </w:style>
  <w:style w:type="paragraph" w:styleId="Stopka">
    <w:name w:val="footer"/>
    <w:basedOn w:val="Normalny"/>
    <w:link w:val="StopkaZnak"/>
    <w:uiPriority w:val="99"/>
    <w:semiHidden/>
    <w:unhideWhenUsed/>
    <w:rsid w:val="006B4D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B4D13"/>
  </w:style>
  <w:style w:type="paragraph" w:styleId="Tekstdymka">
    <w:name w:val="Balloon Text"/>
    <w:basedOn w:val="Normalny"/>
    <w:link w:val="TekstdymkaZnak"/>
    <w:uiPriority w:val="99"/>
    <w:semiHidden/>
    <w:unhideWhenUsed/>
    <w:rsid w:val="006B4D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4D13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1"/>
    <w:qFormat/>
    <w:rsid w:val="00225B40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4"/>
      <w:szCs w:val="24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25B40"/>
    <w:rPr>
      <w:rFonts w:ascii="Arial" w:eastAsia="Arial" w:hAnsi="Arial" w:cs="Arial"/>
      <w:sz w:val="24"/>
      <w:szCs w:val="24"/>
      <w:lang w:eastAsia="pl-PL" w:bidi="pl-PL"/>
    </w:rPr>
  </w:style>
  <w:style w:type="paragraph" w:customStyle="1" w:styleId="Heading3">
    <w:name w:val="Heading 3"/>
    <w:basedOn w:val="Normalny"/>
    <w:uiPriority w:val="1"/>
    <w:qFormat/>
    <w:rsid w:val="00225B40"/>
    <w:pPr>
      <w:widowControl w:val="0"/>
      <w:autoSpaceDE w:val="0"/>
      <w:autoSpaceDN w:val="0"/>
      <w:spacing w:after="0" w:line="240" w:lineRule="auto"/>
      <w:ind w:left="398"/>
      <w:outlineLvl w:val="3"/>
    </w:pPr>
    <w:rPr>
      <w:rFonts w:ascii="Arial" w:eastAsia="Arial" w:hAnsi="Arial" w:cs="Arial"/>
      <w:b/>
      <w:bCs/>
      <w:sz w:val="32"/>
      <w:szCs w:val="32"/>
      <w:lang w:eastAsia="pl-PL" w:bidi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5B4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5B4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5B40"/>
    <w:rPr>
      <w:vertAlign w:val="superscript"/>
    </w:rPr>
  </w:style>
  <w:style w:type="paragraph" w:customStyle="1" w:styleId="Heading6">
    <w:name w:val="Heading 6"/>
    <w:basedOn w:val="Normalny"/>
    <w:uiPriority w:val="1"/>
    <w:qFormat/>
    <w:rsid w:val="006F1875"/>
    <w:pPr>
      <w:widowControl w:val="0"/>
      <w:autoSpaceDE w:val="0"/>
      <w:autoSpaceDN w:val="0"/>
      <w:spacing w:after="0" w:line="240" w:lineRule="auto"/>
      <w:ind w:left="398"/>
      <w:outlineLvl w:val="6"/>
    </w:pPr>
    <w:rPr>
      <w:rFonts w:ascii="Arial" w:eastAsia="Arial" w:hAnsi="Arial" w:cs="Arial"/>
      <w:b/>
      <w:bCs/>
      <w:sz w:val="24"/>
      <w:szCs w:val="24"/>
      <w:lang w:eastAsia="pl-PL" w:bidi="pl-PL"/>
    </w:rPr>
  </w:style>
  <w:style w:type="paragraph" w:styleId="Akapitzlist">
    <w:name w:val="List Paragraph"/>
    <w:basedOn w:val="Normalny"/>
    <w:uiPriority w:val="1"/>
    <w:qFormat/>
    <w:rsid w:val="006F1875"/>
    <w:pPr>
      <w:widowControl w:val="0"/>
      <w:autoSpaceDE w:val="0"/>
      <w:autoSpaceDN w:val="0"/>
      <w:spacing w:after="0" w:line="240" w:lineRule="auto"/>
      <w:ind w:left="1111" w:hanging="355"/>
    </w:pPr>
    <w:rPr>
      <w:rFonts w:ascii="Arial" w:eastAsia="Arial" w:hAnsi="Arial" w:cs="Arial"/>
      <w:lang w:eastAsia="pl-PL" w:bidi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arningapps.org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learningapps.org/" TargetMode="External"/></Relationships>
</file>

<file path=word/_rels/footer1.xml.rels><?xml version="1.0" encoding="UTF-8" standalone="yes"?>
<Relationships xmlns="http://schemas.openxmlformats.org/package/2006/relationships"><Relationship Id="rId7" Type="http://schemas.microsoft.com/office/2007/relationships/hdphoto" Target="media/hdphoto2.wdp"/><Relationship Id="rId1" Type="http://schemas.openxmlformats.org/officeDocument/2006/relationships/image" Target="media/image2.png"/><Relationship Id="rId6" Type="http://schemas.openxmlformats.org/officeDocument/2006/relationships/image" Target="media/image3.png"/><Relationship Id="rId5" Type="http://schemas.microsoft.com/office/2007/relationships/hdphoto" Target="media/hdphoto1.wdp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youtube.com/watch?v=T7GU1qW5ezM" TargetMode="External"/><Relationship Id="rId1" Type="http://schemas.openxmlformats.org/officeDocument/2006/relationships/hyperlink" Target="http://www.learningapps.org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036F3-E932-4F0F-B856-0FFE5A8B3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992</Words>
  <Characters>5958</Characters>
  <Application>Microsoft Office Word</Application>
  <DocSecurity>0</DocSecurity>
  <Lines>49</Lines>
  <Paragraphs>13</Paragraphs>
  <ScaleCrop>false</ScaleCrop>
  <Company/>
  <LinksUpToDate>false</LinksUpToDate>
  <CharactersWithSpaces>6937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3</cp:revision>
  <dcterms:created xsi:type="dcterms:W3CDTF">2019-02-15T13:57:00Z</dcterms:created>
  <dcterms:modified xsi:type="dcterms:W3CDTF">2019-02-15T14:12:00Z</dcterms:modified>
</cp:coreProperties>
</file>